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CC7" w:rsidRDefault="00203CC7">
      <w:pPr>
        <w:rPr>
          <w:sz w:val="30"/>
        </w:rPr>
      </w:pPr>
      <w:proofErr w:type="spellStart"/>
      <w:r w:rsidRPr="00203CC7">
        <w:rPr>
          <w:sz w:val="30"/>
        </w:rPr>
        <w:t>Analysing</w:t>
      </w:r>
      <w:proofErr w:type="spellEnd"/>
      <w:r w:rsidRPr="00203CC7">
        <w:rPr>
          <w:sz w:val="30"/>
        </w:rPr>
        <w:t xml:space="preserve"> Quotations</w:t>
      </w:r>
    </w:p>
    <w:p w:rsidR="00203CC7" w:rsidRPr="00203CC7" w:rsidRDefault="00203CC7">
      <w:pPr>
        <w:rPr>
          <w:sz w:val="30"/>
        </w:rPr>
      </w:pPr>
    </w:p>
    <w:tbl>
      <w:tblPr>
        <w:tblStyle w:val="TableGrid"/>
        <w:tblW w:w="14885" w:type="dxa"/>
        <w:tblInd w:w="-743" w:type="dxa"/>
        <w:tblLook w:val="00BF" w:firstRow="1" w:lastRow="0" w:firstColumn="1" w:lastColumn="0" w:noHBand="0" w:noVBand="0"/>
      </w:tblPr>
      <w:tblGrid>
        <w:gridCol w:w="1236"/>
        <w:gridCol w:w="5664"/>
        <w:gridCol w:w="1686"/>
        <w:gridCol w:w="6299"/>
      </w:tblGrid>
      <w:tr w:rsidR="00203CC7" w:rsidRPr="00896EBC" w:rsidTr="006B4D72">
        <w:trPr>
          <w:trHeight w:val="295"/>
        </w:trPr>
        <w:tc>
          <w:tcPr>
            <w:tcW w:w="1090" w:type="dxa"/>
          </w:tcPr>
          <w:p w:rsidR="00203CC7" w:rsidRPr="00896EBC" w:rsidRDefault="00203CC7" w:rsidP="006B4D72">
            <w:pPr>
              <w:jc w:val="center"/>
              <w:rPr>
                <w:b/>
                <w:sz w:val="28"/>
                <w:szCs w:val="28"/>
              </w:rPr>
            </w:pPr>
            <w:r w:rsidRPr="00896EBC">
              <w:rPr>
                <w:b/>
                <w:sz w:val="28"/>
                <w:szCs w:val="28"/>
              </w:rPr>
              <w:t>Citation</w:t>
            </w:r>
          </w:p>
        </w:tc>
        <w:tc>
          <w:tcPr>
            <w:tcW w:w="5715" w:type="dxa"/>
          </w:tcPr>
          <w:p w:rsidR="00203CC7" w:rsidRPr="00896EBC" w:rsidRDefault="00203CC7" w:rsidP="00203CC7">
            <w:pPr>
              <w:jc w:val="center"/>
              <w:rPr>
                <w:b/>
                <w:sz w:val="28"/>
                <w:szCs w:val="28"/>
              </w:rPr>
            </w:pPr>
            <w:r w:rsidRPr="00896EBC">
              <w:rPr>
                <w:b/>
                <w:sz w:val="28"/>
                <w:szCs w:val="28"/>
              </w:rPr>
              <w:t>Quotation</w:t>
            </w:r>
          </w:p>
        </w:tc>
        <w:tc>
          <w:tcPr>
            <w:tcW w:w="1701" w:type="dxa"/>
          </w:tcPr>
          <w:p w:rsidR="00203CC7" w:rsidRPr="00896EBC" w:rsidRDefault="00203CC7" w:rsidP="00203CC7">
            <w:pPr>
              <w:jc w:val="center"/>
              <w:rPr>
                <w:b/>
                <w:sz w:val="28"/>
                <w:szCs w:val="28"/>
              </w:rPr>
            </w:pPr>
            <w:r w:rsidRPr="00896EBC">
              <w:rPr>
                <w:b/>
                <w:sz w:val="28"/>
                <w:szCs w:val="28"/>
              </w:rPr>
              <w:t>Who says it?</w:t>
            </w:r>
          </w:p>
        </w:tc>
        <w:tc>
          <w:tcPr>
            <w:tcW w:w="6379" w:type="dxa"/>
          </w:tcPr>
          <w:p w:rsidR="00203CC7" w:rsidRPr="00896EBC" w:rsidRDefault="00203CC7" w:rsidP="00203CC7">
            <w:pPr>
              <w:jc w:val="center"/>
              <w:rPr>
                <w:b/>
                <w:sz w:val="28"/>
                <w:szCs w:val="28"/>
              </w:rPr>
            </w:pPr>
            <w:r w:rsidRPr="00896EBC">
              <w:rPr>
                <w:b/>
                <w:sz w:val="28"/>
                <w:szCs w:val="28"/>
              </w:rPr>
              <w:t>What</w:t>
            </w:r>
            <w:r w:rsidR="00695689" w:rsidRPr="00896EBC">
              <w:rPr>
                <w:b/>
                <w:sz w:val="28"/>
                <w:szCs w:val="28"/>
              </w:rPr>
              <w:t xml:space="preserve"> theme</w:t>
            </w:r>
            <w:r w:rsidRPr="00896EBC">
              <w:rPr>
                <w:b/>
                <w:sz w:val="28"/>
                <w:szCs w:val="28"/>
              </w:rPr>
              <w:t xml:space="preserve"> the quotation shows</w:t>
            </w:r>
          </w:p>
        </w:tc>
      </w:tr>
      <w:tr w:rsidR="00203CC7" w:rsidRPr="00896EBC" w:rsidTr="006B4D72">
        <w:trPr>
          <w:trHeight w:val="1114"/>
        </w:trPr>
        <w:tc>
          <w:tcPr>
            <w:tcW w:w="1090" w:type="dxa"/>
          </w:tcPr>
          <w:p w:rsidR="00203CC7" w:rsidRPr="00896EBC" w:rsidRDefault="00203CC7" w:rsidP="006B4D72">
            <w:pPr>
              <w:jc w:val="center"/>
              <w:rPr>
                <w:sz w:val="28"/>
                <w:szCs w:val="28"/>
              </w:rPr>
            </w:pPr>
            <w:r w:rsidRPr="00896EBC">
              <w:rPr>
                <w:sz w:val="28"/>
                <w:szCs w:val="28"/>
              </w:rPr>
              <w:t>p.41</w:t>
            </w:r>
          </w:p>
        </w:tc>
        <w:tc>
          <w:tcPr>
            <w:tcW w:w="5715" w:type="dxa"/>
          </w:tcPr>
          <w:p w:rsidR="00203CC7" w:rsidRPr="00896EBC" w:rsidRDefault="00203CC7">
            <w:pPr>
              <w:rPr>
                <w:sz w:val="28"/>
                <w:szCs w:val="28"/>
              </w:rPr>
            </w:pPr>
            <w:r w:rsidRPr="00896EBC">
              <w:rPr>
                <w:sz w:val="28"/>
                <w:szCs w:val="28"/>
              </w:rPr>
              <w:t xml:space="preserve">“Barb picks up the fur coat as Janice enters from the </w:t>
            </w:r>
            <w:r w:rsidR="006B4D72" w:rsidRPr="00896EBC">
              <w:rPr>
                <w:sz w:val="28"/>
                <w:szCs w:val="28"/>
              </w:rPr>
              <w:t>bathroom</w:t>
            </w:r>
            <w:r w:rsidRPr="00896EBC">
              <w:rPr>
                <w:sz w:val="28"/>
                <w:szCs w:val="28"/>
              </w:rPr>
              <w:t>, drying her hands. Barb looks like a fox caught with a rabbit in its mouth.”</w:t>
            </w:r>
          </w:p>
        </w:tc>
        <w:tc>
          <w:tcPr>
            <w:tcW w:w="1701" w:type="dxa"/>
          </w:tcPr>
          <w:p w:rsidR="00203CC7" w:rsidRPr="00896EBC" w:rsidRDefault="00203CC7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03CC7" w:rsidRPr="00896EBC" w:rsidRDefault="00203CC7" w:rsidP="00203CC7">
            <w:pPr>
              <w:ind w:right="3630"/>
              <w:rPr>
                <w:sz w:val="28"/>
                <w:szCs w:val="28"/>
              </w:rPr>
            </w:pPr>
          </w:p>
        </w:tc>
      </w:tr>
      <w:tr w:rsidR="00203CC7" w:rsidRPr="00896EBC" w:rsidTr="006B4D72">
        <w:trPr>
          <w:trHeight w:val="1114"/>
        </w:trPr>
        <w:tc>
          <w:tcPr>
            <w:tcW w:w="1090" w:type="dxa"/>
          </w:tcPr>
          <w:p w:rsidR="00203CC7" w:rsidRPr="00896EBC" w:rsidRDefault="00203CC7" w:rsidP="006B4D72">
            <w:pPr>
              <w:jc w:val="center"/>
              <w:rPr>
                <w:sz w:val="28"/>
                <w:szCs w:val="28"/>
              </w:rPr>
            </w:pPr>
            <w:r w:rsidRPr="00896EBC">
              <w:rPr>
                <w:sz w:val="28"/>
                <w:szCs w:val="28"/>
              </w:rPr>
              <w:t>p.43</w:t>
            </w:r>
          </w:p>
        </w:tc>
        <w:tc>
          <w:tcPr>
            <w:tcW w:w="5715" w:type="dxa"/>
          </w:tcPr>
          <w:p w:rsidR="00203CC7" w:rsidRPr="00896EBC" w:rsidRDefault="00203CC7">
            <w:pPr>
              <w:rPr>
                <w:sz w:val="28"/>
                <w:szCs w:val="28"/>
              </w:rPr>
            </w:pPr>
            <w:r w:rsidRPr="00896EBC">
              <w:rPr>
                <w:sz w:val="28"/>
                <w:szCs w:val="28"/>
              </w:rPr>
              <w:t xml:space="preserve">“I mean he didn’t know she was on the toilet. He was outside cleaning his gun and saw this big rabbit by the house. Dad was about to shoot it when </w:t>
            </w:r>
            <w:proofErr w:type="spellStart"/>
            <w:r w:rsidRPr="00896EBC">
              <w:rPr>
                <w:sz w:val="28"/>
                <w:szCs w:val="28"/>
              </w:rPr>
              <w:t>Nemush</w:t>
            </w:r>
            <w:proofErr w:type="spellEnd"/>
            <w:r w:rsidRPr="00896EBC">
              <w:rPr>
                <w:sz w:val="28"/>
                <w:szCs w:val="28"/>
              </w:rPr>
              <w:t>, that was our dog, came racing for it. The rabbit.”</w:t>
            </w:r>
          </w:p>
        </w:tc>
        <w:tc>
          <w:tcPr>
            <w:tcW w:w="1701" w:type="dxa"/>
          </w:tcPr>
          <w:p w:rsidR="00203CC7" w:rsidRPr="00896EBC" w:rsidRDefault="00203CC7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03CC7" w:rsidRPr="00896EBC" w:rsidRDefault="001865C5">
            <w:pPr>
              <w:rPr>
                <w:sz w:val="28"/>
                <w:szCs w:val="28"/>
              </w:rPr>
            </w:pPr>
            <w:r w:rsidRPr="00896EBC">
              <w:rPr>
                <w:sz w:val="28"/>
                <w:szCs w:val="28"/>
              </w:rPr>
              <w:t>Why is</w:t>
            </w:r>
            <w:bookmarkStart w:id="0" w:name="_GoBack"/>
            <w:bookmarkEnd w:id="0"/>
            <w:r w:rsidRPr="00896EBC">
              <w:rPr>
                <w:sz w:val="28"/>
                <w:szCs w:val="28"/>
              </w:rPr>
              <w:t xml:space="preserve"> the speaker babbling?</w:t>
            </w:r>
          </w:p>
        </w:tc>
      </w:tr>
      <w:tr w:rsidR="00203CC7" w:rsidRPr="00896EBC" w:rsidTr="006B4D72">
        <w:trPr>
          <w:trHeight w:val="1114"/>
        </w:trPr>
        <w:tc>
          <w:tcPr>
            <w:tcW w:w="1090" w:type="dxa"/>
          </w:tcPr>
          <w:p w:rsidR="00203CC7" w:rsidRPr="00896EBC" w:rsidRDefault="00203CC7" w:rsidP="006B4D72">
            <w:pPr>
              <w:jc w:val="center"/>
              <w:rPr>
                <w:sz w:val="28"/>
                <w:szCs w:val="28"/>
              </w:rPr>
            </w:pPr>
            <w:r w:rsidRPr="00896EBC">
              <w:rPr>
                <w:sz w:val="28"/>
                <w:szCs w:val="28"/>
              </w:rPr>
              <w:t>p.44</w:t>
            </w:r>
          </w:p>
        </w:tc>
        <w:tc>
          <w:tcPr>
            <w:tcW w:w="5715" w:type="dxa"/>
          </w:tcPr>
          <w:p w:rsidR="00203CC7" w:rsidRPr="00896EBC" w:rsidRDefault="00203CC7">
            <w:pPr>
              <w:rPr>
                <w:sz w:val="28"/>
                <w:szCs w:val="28"/>
              </w:rPr>
            </w:pPr>
            <w:r w:rsidRPr="00896EBC">
              <w:rPr>
                <w:sz w:val="28"/>
                <w:szCs w:val="28"/>
              </w:rPr>
              <w:t>“I can’t believe it – they’re Italian leather and the dye is running!”</w:t>
            </w:r>
          </w:p>
        </w:tc>
        <w:tc>
          <w:tcPr>
            <w:tcW w:w="1701" w:type="dxa"/>
          </w:tcPr>
          <w:p w:rsidR="00203CC7" w:rsidRPr="00896EBC" w:rsidRDefault="00203CC7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03CC7" w:rsidRPr="00896EBC" w:rsidRDefault="00203CC7">
            <w:pPr>
              <w:rPr>
                <w:sz w:val="28"/>
                <w:szCs w:val="28"/>
              </w:rPr>
            </w:pPr>
          </w:p>
        </w:tc>
      </w:tr>
      <w:tr w:rsidR="00203CC7" w:rsidRPr="00896EBC" w:rsidTr="006B4D72">
        <w:trPr>
          <w:trHeight w:val="1114"/>
        </w:trPr>
        <w:tc>
          <w:tcPr>
            <w:tcW w:w="1090" w:type="dxa"/>
          </w:tcPr>
          <w:p w:rsidR="00203CC7" w:rsidRPr="00896EBC" w:rsidRDefault="00203CC7" w:rsidP="006B4D72">
            <w:pPr>
              <w:jc w:val="center"/>
              <w:rPr>
                <w:sz w:val="28"/>
                <w:szCs w:val="28"/>
              </w:rPr>
            </w:pPr>
            <w:r w:rsidRPr="00896EBC">
              <w:rPr>
                <w:sz w:val="28"/>
                <w:szCs w:val="28"/>
              </w:rPr>
              <w:t>p.48</w:t>
            </w:r>
          </w:p>
        </w:tc>
        <w:tc>
          <w:tcPr>
            <w:tcW w:w="5715" w:type="dxa"/>
          </w:tcPr>
          <w:p w:rsidR="00614F69" w:rsidRPr="00896EBC" w:rsidRDefault="00614F69">
            <w:pPr>
              <w:rPr>
                <w:sz w:val="28"/>
                <w:szCs w:val="28"/>
              </w:rPr>
            </w:pPr>
            <w:r w:rsidRPr="00896EBC">
              <w:rPr>
                <w:sz w:val="28"/>
                <w:szCs w:val="28"/>
              </w:rPr>
              <w:t>“You smoke leather, like ham?”</w:t>
            </w:r>
          </w:p>
          <w:p w:rsidR="00203CC7" w:rsidRPr="00896EBC" w:rsidRDefault="00203CC7">
            <w:pPr>
              <w:rPr>
                <w:sz w:val="28"/>
                <w:szCs w:val="28"/>
              </w:rPr>
            </w:pPr>
            <w:r w:rsidRPr="00896EBC">
              <w:rPr>
                <w:sz w:val="28"/>
                <w:szCs w:val="28"/>
              </w:rPr>
              <w:t>“Yeah, but ham’s harder to wear.”</w:t>
            </w:r>
          </w:p>
        </w:tc>
        <w:tc>
          <w:tcPr>
            <w:tcW w:w="1701" w:type="dxa"/>
          </w:tcPr>
          <w:p w:rsidR="00203CC7" w:rsidRPr="00896EBC" w:rsidRDefault="00203CC7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03CC7" w:rsidRPr="00896EBC" w:rsidRDefault="00203CC7">
            <w:pPr>
              <w:rPr>
                <w:sz w:val="28"/>
                <w:szCs w:val="28"/>
              </w:rPr>
            </w:pPr>
          </w:p>
        </w:tc>
      </w:tr>
      <w:tr w:rsidR="00203CC7" w:rsidRPr="00896EBC" w:rsidTr="006B4D72">
        <w:trPr>
          <w:trHeight w:val="1114"/>
        </w:trPr>
        <w:tc>
          <w:tcPr>
            <w:tcW w:w="1090" w:type="dxa"/>
          </w:tcPr>
          <w:p w:rsidR="00203CC7" w:rsidRPr="00896EBC" w:rsidRDefault="00203CC7" w:rsidP="006B4D72">
            <w:pPr>
              <w:jc w:val="center"/>
              <w:rPr>
                <w:sz w:val="28"/>
                <w:szCs w:val="28"/>
              </w:rPr>
            </w:pPr>
            <w:r w:rsidRPr="00896EBC">
              <w:rPr>
                <w:sz w:val="28"/>
                <w:szCs w:val="28"/>
              </w:rPr>
              <w:t>p.48</w:t>
            </w:r>
          </w:p>
        </w:tc>
        <w:tc>
          <w:tcPr>
            <w:tcW w:w="5715" w:type="dxa"/>
          </w:tcPr>
          <w:p w:rsidR="00203CC7" w:rsidRPr="00896EBC" w:rsidRDefault="00203CC7">
            <w:pPr>
              <w:rPr>
                <w:sz w:val="28"/>
                <w:szCs w:val="28"/>
              </w:rPr>
            </w:pPr>
            <w:r w:rsidRPr="00896EBC">
              <w:rPr>
                <w:sz w:val="28"/>
                <w:szCs w:val="28"/>
              </w:rPr>
              <w:t xml:space="preserve">“I’m afraid I’m not sure what I should call you. Mrs. </w:t>
            </w:r>
            <w:proofErr w:type="spellStart"/>
            <w:r w:rsidRPr="00896EBC">
              <w:rPr>
                <w:sz w:val="28"/>
                <w:szCs w:val="28"/>
              </w:rPr>
              <w:t>Wabung</w:t>
            </w:r>
            <w:proofErr w:type="spellEnd"/>
            <w:r w:rsidRPr="00896EBC">
              <w:rPr>
                <w:sz w:val="28"/>
                <w:szCs w:val="28"/>
              </w:rPr>
              <w:t>? Anne?”</w:t>
            </w:r>
          </w:p>
        </w:tc>
        <w:tc>
          <w:tcPr>
            <w:tcW w:w="1701" w:type="dxa"/>
          </w:tcPr>
          <w:p w:rsidR="00203CC7" w:rsidRPr="00896EBC" w:rsidRDefault="00203CC7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03CC7" w:rsidRPr="00896EBC" w:rsidRDefault="00203CC7">
            <w:pPr>
              <w:rPr>
                <w:sz w:val="28"/>
                <w:szCs w:val="28"/>
              </w:rPr>
            </w:pPr>
          </w:p>
        </w:tc>
      </w:tr>
      <w:tr w:rsidR="00203CC7" w:rsidRPr="00896EBC" w:rsidTr="006B4D72">
        <w:trPr>
          <w:trHeight w:val="1114"/>
        </w:trPr>
        <w:tc>
          <w:tcPr>
            <w:tcW w:w="1090" w:type="dxa"/>
          </w:tcPr>
          <w:p w:rsidR="00203CC7" w:rsidRPr="00896EBC" w:rsidRDefault="00203CC7" w:rsidP="006B4D72">
            <w:pPr>
              <w:jc w:val="center"/>
              <w:rPr>
                <w:sz w:val="28"/>
                <w:szCs w:val="28"/>
              </w:rPr>
            </w:pPr>
            <w:r w:rsidRPr="00896EBC">
              <w:rPr>
                <w:sz w:val="28"/>
                <w:szCs w:val="28"/>
              </w:rPr>
              <w:t>p.51</w:t>
            </w:r>
          </w:p>
        </w:tc>
        <w:tc>
          <w:tcPr>
            <w:tcW w:w="5715" w:type="dxa"/>
          </w:tcPr>
          <w:p w:rsidR="00203CC7" w:rsidRPr="00896EBC" w:rsidRDefault="00203CC7">
            <w:pPr>
              <w:rPr>
                <w:sz w:val="28"/>
                <w:szCs w:val="28"/>
              </w:rPr>
            </w:pPr>
            <w:r w:rsidRPr="00896EBC">
              <w:rPr>
                <w:sz w:val="28"/>
                <w:szCs w:val="28"/>
              </w:rPr>
              <w:t>“You were named after Grace Kelly.”</w:t>
            </w:r>
          </w:p>
        </w:tc>
        <w:tc>
          <w:tcPr>
            <w:tcW w:w="1701" w:type="dxa"/>
          </w:tcPr>
          <w:p w:rsidR="00203CC7" w:rsidRPr="00896EBC" w:rsidRDefault="00203CC7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03CC7" w:rsidRPr="00896EBC" w:rsidRDefault="00203CC7">
            <w:pPr>
              <w:rPr>
                <w:sz w:val="28"/>
                <w:szCs w:val="28"/>
              </w:rPr>
            </w:pPr>
          </w:p>
        </w:tc>
      </w:tr>
      <w:tr w:rsidR="00203CC7" w:rsidRPr="00896EBC" w:rsidTr="006B4D72">
        <w:trPr>
          <w:trHeight w:val="1114"/>
        </w:trPr>
        <w:tc>
          <w:tcPr>
            <w:tcW w:w="1090" w:type="dxa"/>
          </w:tcPr>
          <w:p w:rsidR="00203CC7" w:rsidRPr="00896EBC" w:rsidRDefault="00203CC7" w:rsidP="006B4D72">
            <w:pPr>
              <w:jc w:val="center"/>
              <w:rPr>
                <w:sz w:val="28"/>
                <w:szCs w:val="28"/>
              </w:rPr>
            </w:pPr>
            <w:r w:rsidRPr="00896EBC">
              <w:rPr>
                <w:sz w:val="28"/>
                <w:szCs w:val="28"/>
              </w:rPr>
              <w:t>p.53</w:t>
            </w:r>
          </w:p>
        </w:tc>
        <w:tc>
          <w:tcPr>
            <w:tcW w:w="5715" w:type="dxa"/>
          </w:tcPr>
          <w:p w:rsidR="00203CC7" w:rsidRPr="00896EBC" w:rsidRDefault="00203CC7">
            <w:pPr>
              <w:rPr>
                <w:sz w:val="28"/>
                <w:szCs w:val="28"/>
              </w:rPr>
            </w:pPr>
            <w:r w:rsidRPr="00896EBC">
              <w:rPr>
                <w:sz w:val="28"/>
                <w:szCs w:val="28"/>
              </w:rPr>
              <w:t>“It’s one of my mother’s…</w:t>
            </w:r>
            <w:proofErr w:type="spellStart"/>
            <w:r w:rsidRPr="00896EBC">
              <w:rPr>
                <w:sz w:val="28"/>
                <w:szCs w:val="28"/>
              </w:rPr>
              <w:t>favourite</w:t>
            </w:r>
            <w:proofErr w:type="spellEnd"/>
            <w:r w:rsidRPr="00896EBC">
              <w:rPr>
                <w:sz w:val="28"/>
                <w:szCs w:val="28"/>
              </w:rPr>
              <w:t xml:space="preserve"> films.”</w:t>
            </w:r>
          </w:p>
        </w:tc>
        <w:tc>
          <w:tcPr>
            <w:tcW w:w="1701" w:type="dxa"/>
          </w:tcPr>
          <w:p w:rsidR="00203CC7" w:rsidRPr="00896EBC" w:rsidRDefault="00203CC7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03CC7" w:rsidRPr="00896EBC" w:rsidRDefault="00203CC7">
            <w:pPr>
              <w:rPr>
                <w:sz w:val="28"/>
                <w:szCs w:val="28"/>
              </w:rPr>
            </w:pPr>
          </w:p>
        </w:tc>
      </w:tr>
      <w:tr w:rsidR="00203CC7" w:rsidRPr="00896EBC" w:rsidTr="006B4D72">
        <w:trPr>
          <w:trHeight w:val="1114"/>
        </w:trPr>
        <w:tc>
          <w:tcPr>
            <w:tcW w:w="1090" w:type="dxa"/>
          </w:tcPr>
          <w:p w:rsidR="00203CC7" w:rsidRPr="00896EBC" w:rsidRDefault="00203CC7" w:rsidP="006B4D72">
            <w:pPr>
              <w:jc w:val="center"/>
              <w:rPr>
                <w:sz w:val="28"/>
                <w:szCs w:val="28"/>
              </w:rPr>
            </w:pPr>
            <w:r w:rsidRPr="00896EBC">
              <w:rPr>
                <w:sz w:val="28"/>
                <w:szCs w:val="28"/>
              </w:rPr>
              <w:lastRenderedPageBreak/>
              <w:t>p.54</w:t>
            </w:r>
          </w:p>
        </w:tc>
        <w:tc>
          <w:tcPr>
            <w:tcW w:w="5715" w:type="dxa"/>
          </w:tcPr>
          <w:p w:rsidR="00203CC7" w:rsidRPr="00896EBC" w:rsidRDefault="00203CC7">
            <w:pPr>
              <w:rPr>
                <w:sz w:val="28"/>
                <w:szCs w:val="28"/>
              </w:rPr>
            </w:pPr>
            <w:r w:rsidRPr="00896EBC">
              <w:rPr>
                <w:sz w:val="28"/>
                <w:szCs w:val="28"/>
              </w:rPr>
              <w:t>“Be the best. Be untouchable. That’s how you get ahead in this life.”</w:t>
            </w:r>
          </w:p>
        </w:tc>
        <w:tc>
          <w:tcPr>
            <w:tcW w:w="1701" w:type="dxa"/>
          </w:tcPr>
          <w:p w:rsidR="00203CC7" w:rsidRPr="00896EBC" w:rsidRDefault="00203CC7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03CC7" w:rsidRPr="00896EBC" w:rsidRDefault="00203CC7">
            <w:pPr>
              <w:rPr>
                <w:sz w:val="28"/>
                <w:szCs w:val="28"/>
              </w:rPr>
            </w:pPr>
          </w:p>
        </w:tc>
      </w:tr>
      <w:tr w:rsidR="00203CC7" w:rsidRPr="00896EBC" w:rsidTr="006B4D72">
        <w:trPr>
          <w:trHeight w:val="1114"/>
        </w:trPr>
        <w:tc>
          <w:tcPr>
            <w:tcW w:w="1090" w:type="dxa"/>
          </w:tcPr>
          <w:p w:rsidR="00203CC7" w:rsidRPr="00896EBC" w:rsidRDefault="00203CC7" w:rsidP="006B4D72">
            <w:pPr>
              <w:jc w:val="center"/>
              <w:rPr>
                <w:sz w:val="28"/>
                <w:szCs w:val="28"/>
              </w:rPr>
            </w:pPr>
            <w:r w:rsidRPr="00896EBC">
              <w:rPr>
                <w:sz w:val="28"/>
                <w:szCs w:val="28"/>
              </w:rPr>
              <w:t>p.55</w:t>
            </w:r>
          </w:p>
        </w:tc>
        <w:tc>
          <w:tcPr>
            <w:tcW w:w="5715" w:type="dxa"/>
          </w:tcPr>
          <w:p w:rsidR="00203CC7" w:rsidRPr="00896EBC" w:rsidRDefault="00203CC7">
            <w:pPr>
              <w:rPr>
                <w:sz w:val="28"/>
                <w:szCs w:val="28"/>
              </w:rPr>
            </w:pPr>
            <w:r w:rsidRPr="00896EBC">
              <w:rPr>
                <w:sz w:val="28"/>
                <w:szCs w:val="28"/>
              </w:rPr>
              <w:t>“They wanted the ‘Native perspective.’ But the only perspective I had was a suburban one.”</w:t>
            </w:r>
          </w:p>
        </w:tc>
        <w:tc>
          <w:tcPr>
            <w:tcW w:w="1701" w:type="dxa"/>
          </w:tcPr>
          <w:p w:rsidR="00203CC7" w:rsidRPr="00896EBC" w:rsidRDefault="00203CC7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03CC7" w:rsidRPr="00896EBC" w:rsidRDefault="00203CC7">
            <w:pPr>
              <w:rPr>
                <w:sz w:val="28"/>
                <w:szCs w:val="28"/>
              </w:rPr>
            </w:pPr>
          </w:p>
        </w:tc>
      </w:tr>
      <w:tr w:rsidR="00203CC7" w:rsidRPr="00896EBC" w:rsidTr="006B4D72">
        <w:trPr>
          <w:trHeight w:val="1114"/>
        </w:trPr>
        <w:tc>
          <w:tcPr>
            <w:tcW w:w="1090" w:type="dxa"/>
          </w:tcPr>
          <w:p w:rsidR="00203CC7" w:rsidRPr="00896EBC" w:rsidRDefault="00203CC7" w:rsidP="006B4D72">
            <w:pPr>
              <w:jc w:val="center"/>
              <w:rPr>
                <w:sz w:val="28"/>
                <w:szCs w:val="28"/>
              </w:rPr>
            </w:pPr>
            <w:r w:rsidRPr="00896EBC">
              <w:rPr>
                <w:sz w:val="28"/>
                <w:szCs w:val="28"/>
              </w:rPr>
              <w:t>p.60</w:t>
            </w:r>
          </w:p>
        </w:tc>
        <w:tc>
          <w:tcPr>
            <w:tcW w:w="5715" w:type="dxa"/>
          </w:tcPr>
          <w:p w:rsidR="00203CC7" w:rsidRPr="00896EBC" w:rsidRDefault="00203CC7">
            <w:pPr>
              <w:rPr>
                <w:sz w:val="28"/>
                <w:szCs w:val="28"/>
              </w:rPr>
            </w:pPr>
            <w:r w:rsidRPr="00896EBC">
              <w:rPr>
                <w:sz w:val="28"/>
                <w:szCs w:val="28"/>
              </w:rPr>
              <w:t>“You have such a different life. It’s like you have everything everybody on this reserve doesn’t.”</w:t>
            </w:r>
          </w:p>
        </w:tc>
        <w:tc>
          <w:tcPr>
            <w:tcW w:w="1701" w:type="dxa"/>
          </w:tcPr>
          <w:p w:rsidR="00203CC7" w:rsidRPr="00896EBC" w:rsidRDefault="00203CC7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03CC7" w:rsidRPr="00896EBC" w:rsidRDefault="00203CC7">
            <w:pPr>
              <w:rPr>
                <w:sz w:val="28"/>
                <w:szCs w:val="28"/>
              </w:rPr>
            </w:pPr>
          </w:p>
        </w:tc>
      </w:tr>
    </w:tbl>
    <w:p w:rsidR="00EE4E33" w:rsidRDefault="00EE4E33"/>
    <w:p w:rsidR="00F03293" w:rsidRPr="00F03293" w:rsidRDefault="00F03293">
      <w:pPr>
        <w:rPr>
          <w:sz w:val="28"/>
        </w:rPr>
      </w:pPr>
      <w:r w:rsidRPr="00F03293">
        <w:rPr>
          <w:sz w:val="28"/>
        </w:rPr>
        <w:t>Choices of Themes:</w:t>
      </w:r>
    </w:p>
    <w:p w:rsidR="00F03293" w:rsidRPr="00F03293" w:rsidRDefault="00F03293">
      <w:pPr>
        <w:rPr>
          <w:sz w:val="28"/>
        </w:rPr>
      </w:pPr>
    </w:p>
    <w:p w:rsidR="00F03293" w:rsidRPr="00F03293" w:rsidRDefault="00F03293" w:rsidP="00F03293">
      <w:pPr>
        <w:pStyle w:val="ListParagraph"/>
        <w:numPr>
          <w:ilvl w:val="0"/>
          <w:numId w:val="1"/>
        </w:numPr>
        <w:rPr>
          <w:sz w:val="28"/>
        </w:rPr>
      </w:pPr>
      <w:r w:rsidRPr="00F03293">
        <w:rPr>
          <w:sz w:val="28"/>
        </w:rPr>
        <w:t>Emphasis and focus on material things</w:t>
      </w:r>
    </w:p>
    <w:p w:rsidR="00F03293" w:rsidRPr="00F03293" w:rsidRDefault="00F03293" w:rsidP="00F03293">
      <w:pPr>
        <w:pStyle w:val="ListParagraph"/>
        <w:numPr>
          <w:ilvl w:val="0"/>
          <w:numId w:val="1"/>
        </w:numPr>
        <w:rPr>
          <w:sz w:val="28"/>
        </w:rPr>
      </w:pPr>
      <w:r w:rsidRPr="00F03293">
        <w:rPr>
          <w:sz w:val="28"/>
        </w:rPr>
        <w:t>Nervousness at new situations</w:t>
      </w:r>
    </w:p>
    <w:p w:rsidR="00F03293" w:rsidRPr="00F03293" w:rsidRDefault="00F03293" w:rsidP="00F03293">
      <w:pPr>
        <w:pStyle w:val="ListParagraph"/>
        <w:numPr>
          <w:ilvl w:val="0"/>
          <w:numId w:val="1"/>
        </w:numPr>
        <w:rPr>
          <w:sz w:val="28"/>
        </w:rPr>
      </w:pPr>
      <w:r w:rsidRPr="00F03293">
        <w:rPr>
          <w:sz w:val="28"/>
        </w:rPr>
        <w:t>Difficulty in figuring out relationships</w:t>
      </w:r>
    </w:p>
    <w:p w:rsidR="00F03293" w:rsidRPr="00F03293" w:rsidRDefault="00F03293" w:rsidP="00F03293">
      <w:pPr>
        <w:pStyle w:val="ListParagraph"/>
        <w:numPr>
          <w:ilvl w:val="0"/>
          <w:numId w:val="1"/>
        </w:numPr>
        <w:rPr>
          <w:sz w:val="28"/>
        </w:rPr>
      </w:pPr>
      <w:r w:rsidRPr="00F03293">
        <w:rPr>
          <w:sz w:val="28"/>
        </w:rPr>
        <w:t>Different lifestyles</w:t>
      </w:r>
    </w:p>
    <w:p w:rsidR="00F03293" w:rsidRPr="00F03293" w:rsidRDefault="00F03293" w:rsidP="00F03293">
      <w:pPr>
        <w:pStyle w:val="ListParagraph"/>
        <w:numPr>
          <w:ilvl w:val="0"/>
          <w:numId w:val="1"/>
        </w:numPr>
        <w:rPr>
          <w:sz w:val="28"/>
        </w:rPr>
      </w:pPr>
      <w:r w:rsidRPr="00F03293">
        <w:rPr>
          <w:sz w:val="28"/>
        </w:rPr>
        <w:t>Lack of connection to N</w:t>
      </w:r>
      <w:r w:rsidRPr="00F03293">
        <w:rPr>
          <w:sz w:val="28"/>
        </w:rPr>
        <w:t>ative culture</w:t>
      </w:r>
    </w:p>
    <w:p w:rsidR="00F03293" w:rsidRDefault="00F03293"/>
    <w:sectPr w:rsidR="00F03293" w:rsidSect="002D6124">
      <w:pgSz w:w="15840" w:h="12240" w:orient="landscape"/>
      <w:pgMar w:top="720" w:right="1440" w:bottom="720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9F74C4"/>
    <w:multiLevelType w:val="hybridMultilevel"/>
    <w:tmpl w:val="CAC6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E4E33"/>
    <w:rsid w:val="000032AA"/>
    <w:rsid w:val="001865C5"/>
    <w:rsid w:val="00203CC7"/>
    <w:rsid w:val="002B75B0"/>
    <w:rsid w:val="002D6124"/>
    <w:rsid w:val="00614F69"/>
    <w:rsid w:val="00695689"/>
    <w:rsid w:val="006B4D72"/>
    <w:rsid w:val="00896EBC"/>
    <w:rsid w:val="00EE4E33"/>
    <w:rsid w:val="00F032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230BF7-0EBC-426F-A814-4EBC0A6E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E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03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Engelhardt, Colleen</cp:lastModifiedBy>
  <cp:revision>9</cp:revision>
  <dcterms:created xsi:type="dcterms:W3CDTF">2013-10-20T18:32:00Z</dcterms:created>
  <dcterms:modified xsi:type="dcterms:W3CDTF">2016-03-23T16:32:00Z</dcterms:modified>
</cp:coreProperties>
</file>